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B89E9" w14:textId="16C8AF52" w:rsidR="009F57F1" w:rsidRDefault="00861ADD">
      <w:r>
        <w:t>Do 2023 r zakład budżetowy płacił podatek od nieruchomości 2% od budowli, od 2024 r została podjęta decyzja w związku z interpretacjami i wyrokami sądu ( swojej interpretacji ani wyroku nie posiadamy) że zakład nie będzie płacił podatku 2% od nieruchomości od budowli ponieważ nie prowadzi działalności gospodarczej pomimo, że we wniosku taryfowym jest wykazana marża zysku ale w uzasadnieniu jest wskazane, że ta marża przeznaczona będzie na bieżące remonty . Czy taka decyzja jest zasadna nie posiadając własnego wyroku i mając w taryfie marżę zysku?</w:t>
      </w:r>
    </w:p>
    <w:sectPr w:rsidR="009F5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7F1"/>
    <w:rsid w:val="00657522"/>
    <w:rsid w:val="00861ADD"/>
    <w:rsid w:val="009F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84FA"/>
  <w15:chartTrackingRefBased/>
  <w15:docId w15:val="{CA8BB78B-C620-42A7-8013-2FDFF9CC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TERMINAL PODATKI</dc:creator>
  <cp:keywords/>
  <dc:description/>
  <cp:lastModifiedBy>TERMINAL PODATKI</cp:lastModifiedBy>
  <cp:revision>3</cp:revision>
  <dcterms:created xsi:type="dcterms:W3CDTF">2024-12-19T08:13:00Z</dcterms:created>
  <dcterms:modified xsi:type="dcterms:W3CDTF">2024-12-19T08:27:00Z</dcterms:modified>
</cp:coreProperties>
</file>